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618" w:rsidRPr="00C662E6" w:rsidRDefault="00023618" w:rsidP="00023618">
      <w:pPr>
        <w:jc w:val="center"/>
        <w:rPr>
          <w:rFonts w:ascii="Arial" w:hAnsi="Arial" w:cs="Arial"/>
          <w:b/>
          <w:sz w:val="20"/>
        </w:rPr>
      </w:pPr>
      <w:r>
        <w:rPr>
          <w:rStyle w:val="Normal"/>
          <w:rFonts w:ascii="Arial" w:eastAsia="Arial" w:hAnsi="Arial" w:cs="Arial"/>
          <w:b/>
          <w:sz w:val="20"/>
        </w:rPr>
        <w:t>Hướng Dẫn Cách Sử Dụng Thuốc Mỡ Nitroglycerin Cho Bệnh Nhân</w:t>
      </w:r>
    </w:p>
    <w:p w:rsidR="00023618" w:rsidRPr="00C662E6" w:rsidRDefault="00023618" w:rsidP="00023618">
      <w:pPr>
        <w:jc w:val="center"/>
        <w:rPr>
          <w:rFonts w:ascii="Arial" w:hAnsi="Arial" w:cs="Arial"/>
          <w:sz w:val="20"/>
        </w:rPr>
      </w:pPr>
    </w:p>
    <w:p w:rsidR="00023618" w:rsidRPr="00C662E6" w:rsidRDefault="00023618" w:rsidP="00023618">
      <w:pPr>
        <w:jc w:val="both"/>
        <w:rPr>
          <w:rFonts w:ascii="Arial" w:hAnsi="Arial" w:cs="Arial"/>
          <w:sz w:val="20"/>
        </w:rPr>
      </w:pPr>
      <w:r>
        <w:rPr>
          <w:rStyle w:val="Normal"/>
          <w:rFonts w:ascii="Arial" w:eastAsia="Arial" w:hAnsi="Arial" w:cs="Arial"/>
          <w:sz w:val="20"/>
        </w:rPr>
        <w:t>Thuốc mỡ nitroglycerin (gọi tắt là NTG) thường được sử dụng để giúp chữa lành vết nứt hậu môn. Thuốc mỡ làm giãn các cơ trơn xung quanh hậu môn và thúc đẩy lưu lượng máu giúp chữa lành vết nứt (rách). NTG giúp làm giảm áp lực ống hậu môn, làm giảm đau và co thắt. Chúng tôi kê toa nồng độ NTG pha loãng (0,125%) so với nồng độ 2% thường được sử dụng cho bệnh nhân mắc bệnh tim, và đây là lý do tại sao quý vị cần lấy thuốc từ một nhà thuốc kết hợp thuốc theo toa của quý vị.</w:t>
      </w:r>
    </w:p>
    <w:p w:rsidR="00023618" w:rsidRPr="006E0FEA" w:rsidRDefault="00023618" w:rsidP="00023618">
      <w:pPr>
        <w:jc w:val="both"/>
        <w:rPr>
          <w:rFonts w:ascii="Arial" w:hAnsi="Arial" w:cs="Arial"/>
          <w:sz w:val="16"/>
          <w:szCs w:val="16"/>
        </w:rPr>
      </w:pPr>
    </w:p>
    <w:p w:rsidR="00023618" w:rsidRPr="00C662E6" w:rsidRDefault="00023618" w:rsidP="00023618">
      <w:pPr>
        <w:jc w:val="both"/>
        <w:rPr>
          <w:rFonts w:ascii="Arial" w:hAnsi="Arial" w:cs="Arial"/>
          <w:sz w:val="20"/>
        </w:rPr>
      </w:pPr>
      <w:r>
        <w:rPr>
          <w:rStyle w:val="Normal"/>
          <w:rFonts w:ascii="Arial" w:eastAsia="Arial" w:hAnsi="Arial" w:cs="Arial"/>
          <w:sz w:val="20"/>
        </w:rPr>
        <w:t>Nên dùng thuốc mỡ NTG 3 hoặc 4 lần một ngày hoặc theo chỉ dẫn. Quý vị nên lấy một giọt thuốc mỡ cỡ bằng hạt đậu lên đầu ngón tay đã đeo găng tay và nhẹ nhàng đặt vào trong hậu môn. Đưa ngón tay vào sâu trong hậu môn tới hết đốt ngón tay đầu tiên. Quý vị có thể dùng Vaseline</w:t>
      </w:r>
      <w:r>
        <w:rPr>
          <w:rStyle w:val="Normal"/>
          <w:rFonts w:ascii="Arial" w:eastAsia="Arial" w:hAnsi="Arial" w:cs="Arial"/>
          <w:sz w:val="20"/>
          <w:vertAlign w:val="superscript"/>
        </w:rPr>
        <w:t>®</w:t>
      </w:r>
      <w:r>
        <w:rPr>
          <w:rStyle w:val="Normal"/>
          <w:rFonts w:ascii="Arial" w:eastAsia="Arial" w:hAnsi="Arial" w:cs="Arial"/>
          <w:sz w:val="20"/>
        </w:rPr>
        <w:t xml:space="preserve"> để bôi phủ lên đầu ngón tay hoặc pha loãng thuốc mỡ. Nếu quý vị được khuyên nên trộn NTG với thuốc mỡ steroid, hãy giới hạn việc sử dụng steroid trong một đến hai tuần. Quý vị có thể nằm trong vài lần bôi đầu tiên, vì có thể xảy ra cơn đau đầu nhẹ hoặc ngắn.</w:t>
      </w:r>
    </w:p>
    <w:p w:rsidR="00023618" w:rsidRPr="006E0FEA" w:rsidRDefault="00023618" w:rsidP="00023618">
      <w:pPr>
        <w:jc w:val="both"/>
        <w:rPr>
          <w:rFonts w:ascii="Arial" w:hAnsi="Arial" w:cs="Arial"/>
          <w:sz w:val="16"/>
          <w:szCs w:val="16"/>
        </w:rPr>
      </w:pPr>
    </w:p>
    <w:p w:rsidR="00023618" w:rsidRPr="00C662E6" w:rsidRDefault="00023618" w:rsidP="00023618">
      <w:pPr>
        <w:jc w:val="both"/>
        <w:rPr>
          <w:rFonts w:ascii="Arial" w:hAnsi="Arial" w:cs="Arial"/>
          <w:sz w:val="20"/>
        </w:rPr>
      </w:pPr>
      <w:r>
        <w:rPr>
          <w:rStyle w:val="Normal"/>
          <w:rFonts w:ascii="Arial" w:eastAsia="Arial" w:hAnsi="Arial" w:cs="Arial"/>
          <w:sz w:val="20"/>
        </w:rPr>
        <w:t>Có thể mất vài tuần để vết nứt bắt đầu lành, và quý vị sẽ cần tiếp tục dùng thuốc sau khi giải quyết các triệu chứng của mình. Điều quan trọng là cần tiếp tục điều trị liên tục trong thời gian tối đa đến 3 tháng hoặc theo chỉ dẫn. Phải mất đến 2 năm để mô được chữa lành và phục hồi như da bình thường. Quý vị sẽ được khuyên nên bổ sung chất xơ vào chế độ ăn, tăng lượng nước uống lên 7-8 ly mỗi ngày, sử dụng bồn tắm thư giãn hoặc bồn tắm ngồi, tránh rặn khi đi đại tiện. Có thể thêm thuốc mỡ gây tê cục bộ.</w:t>
      </w:r>
    </w:p>
    <w:p w:rsidR="00023618" w:rsidRPr="006E0FEA" w:rsidRDefault="00023618" w:rsidP="00023618">
      <w:pPr>
        <w:jc w:val="both"/>
        <w:rPr>
          <w:rFonts w:ascii="Arial" w:hAnsi="Arial" w:cs="Arial"/>
          <w:sz w:val="16"/>
          <w:szCs w:val="16"/>
        </w:rPr>
      </w:pPr>
    </w:p>
    <w:p w:rsidR="00023618" w:rsidRPr="00C662E6" w:rsidRDefault="00023618" w:rsidP="00023618">
      <w:pPr>
        <w:jc w:val="both"/>
        <w:rPr>
          <w:rFonts w:ascii="Arial" w:hAnsi="Arial" w:cs="Arial"/>
          <w:sz w:val="20"/>
        </w:rPr>
      </w:pPr>
      <w:r>
        <w:rPr>
          <w:rStyle w:val="Normal"/>
          <w:rFonts w:ascii="Arial" w:eastAsia="Arial" w:hAnsi="Arial" w:cs="Arial"/>
          <w:sz w:val="20"/>
        </w:rPr>
        <w:t>Ban đầu, vết nứt hậu môn rất dễ bị viêm, khiến lượng NTG có thể đi vào máu nhiều hơn. Việc này khiến một tỉ lệ cao người dùng chịu tác dụng phụ phổ biến nhất của thuốc, đó là đau đầu. Cơn đau đầu thường ngắn và nhẹ, nhưng quý vị có thể phải cần đến thuốc Tylenol® hoặc Advil®. Quý vị có thể pha loãng NTG hơn nữa với Vaseline® để giảm đau đầu.. Khi quá trình điều trị và vết nứt bắt đầu lành, những cơn đau đầu sẽ có xu hướng hết dần. Quý vị có thể gặp các tác dụng phụ khác như đầu óc quay cuồng, mặt đỏ bừng, chóng mặt, hồi hộp, buồn nôn ói và nôn ói. Nếu tình trạng bị tác dụng phụ tiếp diễn hoặc xấu đi, hãy thông báo cho chúng tôi ngay. Ngừng sử dụng NTG và thông báo cho chúng tôi ngay nếu quý vị gặp phải các tác dụng phụ hiếm gặp như chóng mặt nghiêm trọng, ngất xỉu, nhịp tim nhanh/mạnh, xanh xao, đổ mồ hôi, mờ mắt, khô miệng, nước tiểu sẫm màu, môi/da/móng tay xanh xao, mệt mỏi bất thường, người yếu mệt, nhịp tim không đều, co giật hoặc đau ngực. Các phản ứng dị ứng nghiêm trọng là rất hiếm gặp, nếu quý vị bị phát ban, sưng, chóng mặt hoặc khó thở thì cần phải được chăm sóc y tế ngay.</w:t>
      </w:r>
    </w:p>
    <w:p w:rsidR="00023618" w:rsidRPr="006E0FEA" w:rsidRDefault="00023618" w:rsidP="00023618">
      <w:pPr>
        <w:jc w:val="both"/>
        <w:rPr>
          <w:rFonts w:ascii="Arial" w:hAnsi="Arial" w:cs="Arial"/>
          <w:sz w:val="16"/>
          <w:szCs w:val="16"/>
        </w:rPr>
      </w:pPr>
    </w:p>
    <w:p w:rsidR="00023618" w:rsidRPr="00C662E6" w:rsidRDefault="00023618" w:rsidP="00023618">
      <w:pPr>
        <w:jc w:val="both"/>
        <w:rPr>
          <w:rFonts w:ascii="Arial" w:hAnsi="Arial" w:cs="Arial"/>
          <w:sz w:val="20"/>
        </w:rPr>
      </w:pPr>
      <w:r>
        <w:rPr>
          <w:rStyle w:val="Normal"/>
          <w:rFonts w:ascii="Arial" w:eastAsia="Arial" w:hAnsi="Arial" w:cs="Arial"/>
          <w:sz w:val="20"/>
        </w:rPr>
        <w:t>Hãy cho chúng tôi biết nếu quý vị bị dị ứng với nitrat, thiếu máu nặng, huyết áp thấp, mất nước, suy tim mãn tính, bệnh cơ tim, gần đây bị đau tim, tăng áp lực trong não hoặc tiếp xúc với nitrat khi làm việc. Không sử dụng NTG trong khi lái xe hoặc làm việc gần máy móc nếu quý vị buồn ngủ, chóng mặt, đầu óc quay cuồng hoặc mờ mắt. Hạn chế đồ uống có cồn. Để giảm thiểu chóng mặt và đầu óc quay cuồng, hãy đứng dậy từ từ khi quý vị vừa ngồi hoặc nằm. Người cao tuổi có thể dễ bị chóng mặt và té ngã. Mặc dù chưa có nghiên cứu đầy đủ để xác nhận sự an toàn khi sử dụng NTG ở phụ nữ mang thai hoặc đang cho con bú, song cho đến nay nó vẫn được sử dụng mà không có sự cố nào xảy ra. Chúng tôi khuyên quý vị nên chờ ít nhất là một giờ sau khi bôi thuốc mỡ NTG rồi mới cho con bú.</w:t>
      </w:r>
    </w:p>
    <w:p w:rsidR="00023618" w:rsidRPr="006E0FEA" w:rsidRDefault="00023618" w:rsidP="00023618">
      <w:pPr>
        <w:jc w:val="both"/>
        <w:rPr>
          <w:rFonts w:ascii="Arial" w:hAnsi="Arial" w:cs="Arial"/>
          <w:sz w:val="16"/>
          <w:szCs w:val="16"/>
        </w:rPr>
      </w:pPr>
    </w:p>
    <w:p w:rsidR="00023618" w:rsidRPr="00C662E6" w:rsidRDefault="00023618" w:rsidP="00023618">
      <w:pPr>
        <w:jc w:val="both"/>
        <w:rPr>
          <w:rFonts w:ascii="Arial" w:hAnsi="Arial" w:cs="Arial"/>
          <w:sz w:val="20"/>
        </w:rPr>
      </w:pPr>
      <w:r>
        <w:rPr>
          <w:rStyle w:val="Normal"/>
          <w:rFonts w:ascii="Arial" w:eastAsia="Arial" w:hAnsi="Arial" w:cs="Arial"/>
          <w:b/>
          <w:sz w:val="20"/>
        </w:rPr>
        <w:t>Không sử dụng thuốc mỡ NTG nếu quý đang dùng thuốc để chữa trị vấn đề về tình dục [ví dụ: sildenafil (Viagra</w:t>
      </w:r>
      <w:r>
        <w:rPr>
          <w:rStyle w:val="Normal"/>
          <w:rFonts w:ascii="Arial" w:eastAsia="Arial" w:hAnsi="Arial" w:cs="Arial"/>
          <w:b/>
          <w:sz w:val="20"/>
          <w:vertAlign w:val="superscript"/>
        </w:rPr>
        <w:t>®</w:t>
      </w:r>
      <w:r>
        <w:rPr>
          <w:rStyle w:val="Normal"/>
          <w:rFonts w:ascii="Arial" w:eastAsia="Arial" w:hAnsi="Arial" w:cs="Arial"/>
          <w:b/>
          <w:sz w:val="20"/>
        </w:rPr>
        <w:t>), tadalafil (Cialis</w:t>
      </w:r>
      <w:r>
        <w:rPr>
          <w:rStyle w:val="Normal"/>
          <w:rFonts w:ascii="Arial" w:eastAsia="Arial" w:hAnsi="Arial" w:cs="Arial"/>
          <w:b/>
          <w:sz w:val="20"/>
          <w:vertAlign w:val="superscript"/>
        </w:rPr>
        <w:t>®</w:t>
      </w:r>
      <w:r>
        <w:rPr>
          <w:rStyle w:val="Normal"/>
          <w:rFonts w:ascii="Arial" w:eastAsia="Arial" w:hAnsi="Arial" w:cs="Arial"/>
          <w:b/>
          <w:sz w:val="20"/>
        </w:rPr>
        <w:t>), vardenafil (Levitra</w:t>
      </w:r>
      <w:r>
        <w:rPr>
          <w:rStyle w:val="Normal"/>
          <w:rFonts w:ascii="Arial" w:eastAsia="Arial" w:hAnsi="Arial" w:cs="Arial"/>
          <w:b/>
          <w:sz w:val="20"/>
          <w:vertAlign w:val="superscript"/>
        </w:rPr>
        <w:t>®</w:t>
      </w:r>
      <w:r>
        <w:rPr>
          <w:rStyle w:val="Normal"/>
          <w:rFonts w:ascii="Arial" w:eastAsia="Arial" w:hAnsi="Arial" w:cs="Arial"/>
          <w:b/>
          <w:sz w:val="20"/>
        </w:rPr>
        <w:t>)].</w:t>
      </w:r>
      <w:r>
        <w:rPr>
          <w:rStyle w:val="Normal"/>
          <w:rFonts w:ascii="Arial" w:eastAsia="Arial" w:hAnsi="Arial" w:cs="Arial"/>
          <w:sz w:val="20"/>
        </w:rPr>
        <w:t xml:space="preserve"> Hãy thận trọng trước khi dùng các sản phẩm trị ho và cảm lạnh, các sản phẩm hỗ trợ ăn kiêng hoặc các chế phẩm thuốc chống viêm không steroid (NSAID) vì chúng có thể chứa các thành phần có thể làm tăng huyết áp, gây nhịp tim nhanh hoặc tăng đau ngực (ví dụ: pseudoephedrine, phenylephrine, chlorpheniramine, diphenhydramine, clemastine, ibuprofen và naproxen). Hãy cho chúng tôi biết nếu quý vị uống rượu, uống thuốc alteplase, thuốc trị đau nửa đầu (ergotamine), thuốc lợi tiểu như furosemide hoặc hydrochlorothiazide hoặc các loại thuốc khác để trị huyết áp cao (thuốc chẹn beta, thuốc chẹn kênh canxi, thuốc ức chế men chuyển angiotensin).</w:t>
      </w:r>
    </w:p>
    <w:p w:rsidR="00023618" w:rsidRPr="006E0FEA" w:rsidRDefault="00023618" w:rsidP="00023618">
      <w:pPr>
        <w:jc w:val="both"/>
        <w:rPr>
          <w:rFonts w:ascii="Arial" w:hAnsi="Arial" w:cs="Arial"/>
          <w:sz w:val="16"/>
          <w:szCs w:val="16"/>
        </w:rPr>
      </w:pPr>
    </w:p>
    <w:p w:rsidR="00023618" w:rsidRPr="00C662E6" w:rsidRDefault="00023618" w:rsidP="00023618">
      <w:pPr>
        <w:jc w:val="both"/>
        <w:rPr>
          <w:rFonts w:ascii="Arial" w:hAnsi="Arial" w:cs="Arial"/>
          <w:sz w:val="20"/>
        </w:rPr>
      </w:pPr>
      <w:r>
        <w:rPr>
          <w:rStyle w:val="Normal"/>
          <w:rFonts w:ascii="Arial" w:eastAsia="Arial" w:hAnsi="Arial" w:cs="Arial"/>
          <w:sz w:val="20"/>
        </w:rPr>
        <w:t>Bảo quản NTG ở nhiệt độ phòng và tránh ánh sáng và nơi ẩm ướt. Đóng chặt nắp sau mỗi lần sử dụng. Không để trong phòng tắm. Tránh xa tầm với của trẻ em và thú nuôi trong nhà.</w:t>
      </w:r>
    </w:p>
    <w:p w:rsidR="00023618" w:rsidRPr="00C662E6" w:rsidRDefault="00023618" w:rsidP="00023618">
      <w:pPr>
        <w:jc w:val="both"/>
        <w:rPr>
          <w:rFonts w:ascii="Arial" w:hAnsi="Arial" w:cs="Arial"/>
          <w:sz w:val="20"/>
        </w:rPr>
      </w:pPr>
      <w:r>
        <w:rPr>
          <w:rStyle w:val="Normal"/>
          <w:rFonts w:ascii="Arial" w:eastAsia="Arial" w:hAnsi="Arial" w:cs="Arial"/>
          <w:sz w:val="20"/>
        </w:rPr>
        <w:t>Nếu quý vị có câu hỏi hoặc gặp bất kỳ vấn đề nào, vui lòng gọi cho chúng tôi theo số điện thoại (</w:t>
      </w:r>
      <w:r w:rsidR="000D54C3" w:rsidRPr="000D54C3">
        <w:rPr>
          <w:rStyle w:val="Normal"/>
          <w:rFonts w:ascii="Arial" w:eastAsia="Arial" w:hAnsi="Arial" w:cs="Arial"/>
          <w:sz w:val="20"/>
        </w:rPr>
        <w:t xml:space="preserve">   </w:t>
      </w:r>
      <w:bookmarkStart w:id="0" w:name="_GoBack"/>
      <w:bookmarkEnd w:id="0"/>
      <w:r w:rsidR="000D54C3" w:rsidRPr="000D54C3">
        <w:rPr>
          <w:rStyle w:val="Normal"/>
          <w:rFonts w:ascii="Arial" w:eastAsia="Arial" w:hAnsi="Arial" w:cs="Arial"/>
          <w:sz w:val="20"/>
        </w:rPr>
        <w:t xml:space="preserve">  </w:t>
      </w:r>
      <w:r>
        <w:rPr>
          <w:rStyle w:val="Normal"/>
          <w:rFonts w:ascii="Arial" w:eastAsia="Arial" w:hAnsi="Arial" w:cs="Arial"/>
          <w:sz w:val="20"/>
        </w:rPr>
        <w:t>) _ _ _ - _ _ _ _</w:t>
      </w:r>
    </w:p>
    <w:sectPr w:rsidR="00023618" w:rsidRPr="00C662E6" w:rsidSect="00023618">
      <w:pgSz w:w="12240" w:h="15840"/>
      <w:pgMar w:top="993"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04B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6CE"/>
    <w:rsid w:val="00023618"/>
    <w:rsid w:val="000D5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59981"/>
  <w15:chartTrackingRefBased/>
  <w15:docId w15:val="{BD11493D-12E4-44C1-9568-E15B0642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6CE"/>
    <w:pPr>
      <w:overflowPunct w:val="0"/>
      <w:autoSpaceDE w:val="0"/>
      <w:autoSpaceDN w:val="0"/>
      <w:adjustRightInd w:val="0"/>
      <w:textAlignment w:val="baseline"/>
    </w:pPr>
    <w:rPr>
      <w:sz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rsid w:val="00B27F25"/>
    <w:rPr>
      <w:sz w:val="16"/>
      <w:szCs w:val="16"/>
      <w:lang w:val="vi-VN" w:eastAsia="vi-VN"/>
    </w:rPr>
  </w:style>
  <w:style w:type="paragraph" w:styleId="CommentText">
    <w:name w:val="annotation text"/>
    <w:basedOn w:val="Normal"/>
    <w:link w:val="CommentTextChar"/>
    <w:rsid w:val="00B27F25"/>
    <w:rPr>
      <w:sz w:val="20"/>
    </w:rPr>
  </w:style>
  <w:style w:type="character" w:customStyle="1" w:styleId="CommentTextChar">
    <w:name w:val="Comment Text Char"/>
    <w:basedOn w:val="DefaultParagraphFont"/>
    <w:link w:val="CommentText"/>
    <w:rsid w:val="00B27F25"/>
  </w:style>
  <w:style w:type="paragraph" w:styleId="CommentSubject">
    <w:name w:val="annotation subject"/>
    <w:basedOn w:val="CommentText"/>
    <w:next w:val="CommentText"/>
    <w:link w:val="CommentSubjectChar"/>
    <w:rsid w:val="00B27F25"/>
    <w:rPr>
      <w:b/>
      <w:bCs/>
    </w:rPr>
  </w:style>
  <w:style w:type="character" w:customStyle="1" w:styleId="CommentSubjectChar">
    <w:name w:val="Comment Subject Char"/>
    <w:link w:val="CommentSubject"/>
    <w:rsid w:val="00B27F25"/>
    <w:rPr>
      <w:b/>
      <w:bCs/>
      <w:lang w:val="vi-VN" w:eastAsia="vi-VN"/>
    </w:rPr>
  </w:style>
  <w:style w:type="paragraph" w:styleId="BalloonText">
    <w:name w:val="Balloon Text"/>
    <w:basedOn w:val="Normal"/>
    <w:link w:val="BalloonTextChar"/>
    <w:rsid w:val="00B27F25"/>
    <w:rPr>
      <w:rFonts w:ascii="Tahoma" w:hAnsi="Tahoma"/>
      <w:sz w:val="16"/>
      <w:szCs w:val="16"/>
    </w:rPr>
  </w:style>
  <w:style w:type="character" w:customStyle="1" w:styleId="BalloonTextChar">
    <w:name w:val="Balloon Text Char"/>
    <w:link w:val="BalloonText"/>
    <w:rsid w:val="00B27F25"/>
    <w:rPr>
      <w:rFonts w:ascii="Tahoma"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F7B0-CB50-4BD0-92F1-176E90FC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Patient Drug Education for Nitroglycerin Ointment</vt:lpstr>
    </vt:vector>
  </TitlesOfParts>
  <Company>CRH CENTER</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Drug Education for Nitroglycerin Ointment</dc:title>
  <dc:subject/>
  <dc:creator>Shaun Gerrits</dc:creator>
  <cp:keywords/>
  <cp:lastModifiedBy>Teresa Villalta</cp:lastModifiedBy>
  <cp:revision>2</cp:revision>
  <dcterms:created xsi:type="dcterms:W3CDTF">2019-06-20T17:09:00Z</dcterms:created>
  <dcterms:modified xsi:type="dcterms:W3CDTF">2019-06-20T17:09:00Z</dcterms:modified>
</cp:coreProperties>
</file>